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17"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12 (Supply Chain Visibility) </w:t>
      </w:r>
      <w:r w:rsidDel="00000000" w:rsidR="00000000" w:rsidRPr="00000000">
        <w:rPr>
          <w:rtl w:val="0"/>
        </w:rPr>
      </w:r>
    </w:p>
    <w:p w:rsidR="00000000" w:rsidDel="00000000" w:rsidP="00000000" w:rsidRDefault="00000000" w:rsidRPr="00000000" w14:paraId="00000002">
      <w:pPr>
        <w:pStyle w:val="Heading1"/>
        <w:numPr>
          <w:ilvl w:val="0"/>
          <w:numId w:val="1"/>
        </w:numPr>
        <w:ind w:left="705" w:hanging="720"/>
        <w:rPr/>
      </w:pPr>
      <w:r w:rsidDel="00000000" w:rsidR="00000000" w:rsidRPr="00000000">
        <w:rPr>
          <w:rtl w:val="0"/>
        </w:rPr>
        <w:t xml:space="preserve">Definitions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352" w:before="0" w:line="268" w:lineRule="auto"/>
        <w:ind w:left="720" w:right="0" w:hanging="43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8" w:before="0" w:line="268" w:lineRule="auto"/>
        <w:ind w:left="4085" w:right="0" w:hanging="334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4085" w:right="0" w:hanging="334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w:t>
        <w:tab/>
        <w:t xml:space="preserve">by </w:t>
        <w:tab/>
        <w:t xml:space="preserve">the </w:t>
        <w:tab/>
        <w:t xml:space="preserve">Commission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085" w:right="28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Recommendation of 6 May 2003 concerning the definition of micro, small and medium sized enterprises;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75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w:t>
      </w:r>
    </w:p>
    <w:p w:rsidR="00000000" w:rsidDel="00000000" w:rsidP="00000000" w:rsidRDefault="00000000" w:rsidRPr="00000000" w14:paraId="00000009">
      <w:pPr>
        <w:pStyle w:val="Heading1"/>
        <w:numPr>
          <w:ilvl w:val="0"/>
          <w:numId w:val="1"/>
        </w:numPr>
        <w:tabs>
          <w:tab w:val="center" w:leader="none" w:pos="1752"/>
          <w:tab w:val="center" w:leader="none" w:pos="4486"/>
        </w:tabs>
        <w:spacing w:after="226" w:before="0" w:lineRule="auto"/>
        <w:ind w:left="10" w:hanging="10"/>
        <w:rPr/>
      </w:pPr>
      <w:r w:rsidDel="00000000" w:rsidR="00000000" w:rsidRPr="00000000">
        <w:rPr>
          <w:rFonts w:ascii="Calibri" w:cs="Calibri" w:eastAsia="Calibri" w:hAnsi="Calibri"/>
          <w:b w:val="0"/>
          <w:sz w:val="22"/>
          <w:szCs w:val="22"/>
          <w:rtl w:val="0"/>
        </w:rPr>
        <w:tab/>
      </w:r>
      <w:r w:rsidDel="00000000" w:rsidR="00000000" w:rsidRPr="00000000">
        <w:rPr>
          <w:rtl w:val="0"/>
        </w:rPr>
        <w:t xml:space="preserve">Report Template” </w:t>
        <w:tab/>
      </w:r>
      <w:r w:rsidDel="00000000" w:rsidR="00000000" w:rsidRPr="00000000">
        <w:rPr>
          <w:b w:val="0"/>
          <w:rtl w:val="0"/>
        </w:rPr>
        <w:t xml:space="preserve">12; and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080" w:right="286" w:hanging="33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06" w:before="0" w:line="256" w:lineRule="auto"/>
        <w:ind w:left="74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C">
      <w:pPr>
        <w:pStyle w:val="Heading1"/>
        <w:numPr>
          <w:ilvl w:val="0"/>
          <w:numId w:val="1"/>
        </w:numPr>
        <w:ind w:left="705" w:hanging="720"/>
        <w:rPr/>
      </w:pPr>
      <w:r w:rsidDel="00000000" w:rsidR="00000000" w:rsidRPr="00000000">
        <w:rPr>
          <w:rtl w:val="0"/>
        </w:rPr>
        <w:t xml:space="preserve">Visibility of Sub-Contract Opportunities in the Supply Chain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527"/>
          <w:tab w:val="center" w:leader="none" w:pos="2021"/>
        </w:tabs>
        <w:spacing w:after="4" w:before="0" w:line="268"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tab/>
        <w:t xml:space="preserve"> The Supplier shall: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1"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106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2.1.1 subject to Paragraph 2.3, advertise on Contracts Finder all Sub-Contract opportunities arising from or in connection with the provision of the Deliverables above a minimum threshold of £25,000 that arise during the Contract Period;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106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2.1.2 within 90 days of awarding a Sub-Contract to a Subcontractor, update the notice on Contract Finder with details of the successful Subcontractor;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106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2.1.3 monitor the number, type and value of the Sub-Contract opportunities placed on Contracts Finder advertised and awarded in its supply chain during the Contract Period;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35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2.1.4 provide reports on the information at Paragraph 2.1.3 to the Relevant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109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format and frequency as reasonably specified by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1065"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2.1.5 promote Contracts Finder to its suppliers and encourage those organisations to register on Contracts Finder.  </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979" w:right="0"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t>
        <w:tab/>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979" w:right="0"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t>
        <w:tab/>
        <w:t xml:space="preserve">The obligation on the Supplier set out at Paragraph 2.1 shall only apply in respect of Sub-Contract opportunities arising after the Effective Date. </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1" w:before="0" w:line="256"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4" w:before="0" w:line="268" w:lineRule="auto"/>
        <w:ind w:left="979" w:right="0" w:hanging="63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w:t>
        <w:tab/>
        <w:t xml:space="preserve">Notwithstanding Paragraph 2.1,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may by giving its prior Approval, agree that a Sub-Contract opportunity is not required to be advertised by the Supplier on Contracts Finder.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1"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pStyle w:val="Heading1"/>
        <w:numPr>
          <w:ilvl w:val="0"/>
          <w:numId w:val="1"/>
        </w:numPr>
        <w:ind w:left="705" w:hanging="720"/>
        <w:rPr/>
      </w:pPr>
      <w:r w:rsidDel="00000000" w:rsidR="00000000" w:rsidRPr="00000000">
        <w:rPr>
          <w:rtl w:val="0"/>
        </w:rPr>
        <w:t xml:space="preserve">Visibility of Supply Chain Spend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3" w:before="0" w:line="268" w:lineRule="auto"/>
        <w:ind w:left="914" w:right="0" w:hanging="5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incorporates the data described in the Supply Chain Information Report Template which is:  </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03" w:before="0" w:line="268" w:lineRule="auto"/>
        <w:ind w:left="1440" w:right="0" w:hanging="360"/>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 </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17" w:before="0" w:line="256" w:lineRule="auto"/>
        <w:ind w:left="1440" w:right="0" w:hanging="360"/>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04" w:before="0" w:line="268" w:lineRule="auto"/>
        <w:ind w:left="145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 revenues for non-SMEs/non-VCSEs); and </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06" w:before="0" w:line="268" w:lineRule="auto"/>
        <w:ind w:left="1440" w:right="0" w:hanging="360"/>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15"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4" w:before="0" w:line="268" w:lineRule="auto"/>
        <w:ind w:left="979" w:right="0" w:hanging="634"/>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issuing a replacement version. The Relevant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agrees to give at least thirty (30) days’ notice in writing of any such change and shall specify the date from which it must be used.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9" w:before="0" w:line="25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06" w:before="0" w:line="268" w:lineRule="auto"/>
        <w:ind w:left="979" w:right="0" w:hanging="634"/>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w:t>
      </w:r>
      <w:r w:rsidDel="00000000" w:rsidR="00000000" w:rsidRPr="00000000">
        <w:rPr>
          <w:rFonts w:ascii="Arial" w:cs="Arial" w:eastAsia="Arial" w:hAnsi="Arial"/>
          <w:sz w:val="24"/>
          <w:szCs w:val="24"/>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06" w:before="0" w:line="268"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06" w:before="0" w:line="268"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6" w:before="0" w:line="268" w:lineRule="auto"/>
        <w:ind w:left="36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18" w:before="0" w:line="256" w:lineRule="auto"/>
        <w:ind w:left="36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0" w:line="256" w:lineRule="auto"/>
        <w:ind w:left="0" w:right="1928"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 </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201"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226"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70" w:before="0" w:line="256" w:lineRule="auto"/>
        <w:ind w:left="4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101600" distT="0" distL="0" distR="0">
            <wp:extent cx="952500" cy="6223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952500" cy="622300"/>
                    </a:xfrm>
                    <a:prstGeom prst="rect"/>
                    <a:ln/>
                  </pic:spPr>
                </pic:pic>
              </a:graphicData>
            </a:graphic>
          </wp:inline>
        </w:drawing>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48" w:lineRule="auto"/>
        <w:ind w:left="0" w:right="8959"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sectPr>
      <w:headerReference r:id="rId7" w:type="default"/>
      <w:footerReference r:id="rId8" w:type="default"/>
      <w:pgSz w:h="16838" w:w="11906" w:orient="portrait"/>
      <w:pgMar w:bottom="1817" w:top="1489" w:left="1440" w:right="1441" w:header="710" w:footer="7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1"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RM6263 </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 </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5" w:before="0" w:line="240" w:lineRule="auto"/>
      <w:ind w:left="0" w:right="3878"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2021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rFonts w:ascii="Arial" w:cs="Arial" w:eastAsia="Arial" w:hAnsi="Arial"/>
        <w:b w:val="1"/>
        <w:i w:val="0"/>
        <w:strike w:val="0"/>
        <w:color w:val="000000"/>
        <w:sz w:val="24"/>
        <w:szCs w:val="24"/>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lowerLetter"/>
      <w:lvlText w:val="(%1)"/>
      <w:lvlJc w:val="left"/>
      <w:pPr>
        <w:ind w:left="1440" w:firstLine="0"/>
      </w:pPr>
      <w:rPr>
        <w:rFonts w:ascii="Arial" w:cs="Arial" w:eastAsia="Arial" w:hAnsi="Arial"/>
        <w:b w:val="0"/>
        <w:i w:val="0"/>
        <w:strike w:val="0"/>
        <w:color w:val="000000"/>
        <w:sz w:val="24"/>
        <w:szCs w:val="24"/>
        <w:u w:val="none"/>
        <w:vertAlign w:val="baseline"/>
      </w:rPr>
    </w:lvl>
    <w:lvl w:ilvl="1">
      <w:start w:val="1"/>
      <w:numFmt w:val="lowerLetter"/>
      <w:lvlText w:val="%2"/>
      <w:lvlJc w:val="left"/>
      <w:pPr>
        <w:ind w:left="2160" w:firstLine="0"/>
      </w:pPr>
      <w:rPr>
        <w:rFonts w:ascii="Arial" w:cs="Arial" w:eastAsia="Arial" w:hAnsi="Arial"/>
        <w:b w:val="0"/>
        <w:i w:val="0"/>
        <w:strike w:val="0"/>
        <w:color w:val="000000"/>
        <w:sz w:val="24"/>
        <w:szCs w:val="24"/>
        <w:u w:val="none"/>
        <w:vertAlign w:val="baseline"/>
      </w:rPr>
    </w:lvl>
    <w:lvl w:ilvl="2">
      <w:start w:val="1"/>
      <w:numFmt w:val="lowerRoman"/>
      <w:lvlText w:val="%3"/>
      <w:lvlJc w:val="left"/>
      <w:pPr>
        <w:ind w:left="2880" w:firstLine="0"/>
      </w:pPr>
      <w:rPr>
        <w:rFonts w:ascii="Arial" w:cs="Arial" w:eastAsia="Arial" w:hAnsi="Arial"/>
        <w:b w:val="0"/>
        <w:i w:val="0"/>
        <w:strike w:val="0"/>
        <w:color w:val="000000"/>
        <w:sz w:val="24"/>
        <w:szCs w:val="24"/>
        <w:u w:val="none"/>
        <w:vertAlign w:val="baseline"/>
      </w:rPr>
    </w:lvl>
    <w:lvl w:ilvl="3">
      <w:start w:val="1"/>
      <w:numFmt w:val="decimal"/>
      <w:lvlText w:val="%4"/>
      <w:lvlJc w:val="left"/>
      <w:pPr>
        <w:ind w:left="3600" w:firstLine="0"/>
      </w:pPr>
      <w:rPr>
        <w:rFonts w:ascii="Arial" w:cs="Arial" w:eastAsia="Arial" w:hAnsi="Arial"/>
        <w:b w:val="0"/>
        <w:i w:val="0"/>
        <w:strike w:val="0"/>
        <w:color w:val="000000"/>
        <w:sz w:val="24"/>
        <w:szCs w:val="24"/>
        <w:u w:val="none"/>
        <w:vertAlign w:val="baseline"/>
      </w:rPr>
    </w:lvl>
    <w:lvl w:ilvl="4">
      <w:start w:val="1"/>
      <w:numFmt w:val="lowerLetter"/>
      <w:lvlText w:val="%5"/>
      <w:lvlJc w:val="left"/>
      <w:pPr>
        <w:ind w:left="4320" w:firstLine="0"/>
      </w:pPr>
      <w:rPr>
        <w:rFonts w:ascii="Arial" w:cs="Arial" w:eastAsia="Arial" w:hAnsi="Arial"/>
        <w:b w:val="0"/>
        <w:i w:val="0"/>
        <w:strike w:val="0"/>
        <w:color w:val="000000"/>
        <w:sz w:val="24"/>
        <w:szCs w:val="24"/>
        <w:u w:val="none"/>
        <w:vertAlign w:val="baseline"/>
      </w:rPr>
    </w:lvl>
    <w:lvl w:ilvl="5">
      <w:start w:val="1"/>
      <w:numFmt w:val="lowerRoman"/>
      <w:lvlText w:val="%6"/>
      <w:lvlJc w:val="left"/>
      <w:pPr>
        <w:ind w:left="5040" w:firstLine="0"/>
      </w:pPr>
      <w:rPr>
        <w:rFonts w:ascii="Arial" w:cs="Arial" w:eastAsia="Arial" w:hAnsi="Arial"/>
        <w:b w:val="0"/>
        <w:i w:val="0"/>
        <w:strike w:val="0"/>
        <w:color w:val="000000"/>
        <w:sz w:val="24"/>
        <w:szCs w:val="24"/>
        <w:u w:val="none"/>
        <w:vertAlign w:val="baseline"/>
      </w:rPr>
    </w:lvl>
    <w:lvl w:ilvl="6">
      <w:start w:val="1"/>
      <w:numFmt w:val="decimal"/>
      <w:lvlText w:val="%7"/>
      <w:lvlJc w:val="left"/>
      <w:pPr>
        <w:ind w:left="5760" w:firstLine="0"/>
      </w:pPr>
      <w:rPr>
        <w:rFonts w:ascii="Arial" w:cs="Arial" w:eastAsia="Arial" w:hAnsi="Arial"/>
        <w:b w:val="0"/>
        <w:i w:val="0"/>
        <w:strike w:val="0"/>
        <w:color w:val="000000"/>
        <w:sz w:val="24"/>
        <w:szCs w:val="24"/>
        <w:u w:val="none"/>
        <w:vertAlign w:val="baseline"/>
      </w:rPr>
    </w:lvl>
    <w:lvl w:ilvl="7">
      <w:start w:val="1"/>
      <w:numFmt w:val="lowerLetter"/>
      <w:lvlText w:val="%8"/>
      <w:lvlJc w:val="left"/>
      <w:pPr>
        <w:ind w:left="6480" w:firstLine="0"/>
      </w:pPr>
      <w:rPr>
        <w:rFonts w:ascii="Arial" w:cs="Arial" w:eastAsia="Arial" w:hAnsi="Arial"/>
        <w:b w:val="0"/>
        <w:i w:val="0"/>
        <w:strike w:val="0"/>
        <w:color w:val="000000"/>
        <w:sz w:val="24"/>
        <w:szCs w:val="24"/>
        <w:u w:val="none"/>
        <w:vertAlign w:val="baseline"/>
      </w:rPr>
    </w:lvl>
    <w:lvl w:ilvl="8">
      <w:start w:val="1"/>
      <w:numFmt w:val="lowerRoman"/>
      <w:lvlText w:val="%9"/>
      <w:lvlJc w:val="left"/>
      <w:pPr>
        <w:ind w:left="7200" w:firstLine="0"/>
      </w:pPr>
      <w:rPr>
        <w:rFonts w:ascii="Arial" w:cs="Arial" w:eastAsia="Arial" w:hAnsi="Arial"/>
        <w:b w:val="0"/>
        <w:i w:val="0"/>
        <w:strike w:val="0"/>
        <w:color w:val="000000"/>
        <w:sz w:val="24"/>
        <w:szCs w:val="24"/>
        <w:u w:val="none"/>
        <w:vertAlign w:val="baseline"/>
      </w:rPr>
    </w:lvl>
  </w:abstractNum>
  <w:abstractNum w:abstractNumId="3">
    <w:lvl w:ilvl="0">
      <w:start w:val="3"/>
      <w:numFmt w:val="decimal"/>
      <w:lvlText w:val="%1"/>
      <w:lvlJc w:val="left"/>
      <w:pPr>
        <w:ind w:left="360" w:firstLine="0"/>
      </w:pPr>
      <w:rPr>
        <w:rFonts w:ascii="Arial" w:cs="Arial" w:eastAsia="Arial" w:hAnsi="Arial"/>
        <w:b w:val="0"/>
        <w:i w:val="0"/>
        <w:strike w:val="0"/>
        <w:color w:val="000000"/>
        <w:sz w:val="24"/>
        <w:szCs w:val="24"/>
        <w:u w:val="none"/>
        <w:vertAlign w:val="baseline"/>
      </w:rPr>
    </w:lvl>
    <w:lvl w:ilvl="1">
      <w:start w:val="2"/>
      <w:numFmt w:val="decimal"/>
      <w:lvlText w:val="%1.%2"/>
      <w:lvlJc w:val="left"/>
      <w:pPr>
        <w:ind w:left="979" w:firstLine="0"/>
      </w:pPr>
      <w:rPr>
        <w:rFonts w:ascii="Arial" w:cs="Arial" w:eastAsia="Arial" w:hAnsi="Arial"/>
        <w:b w:val="0"/>
        <w:i w:val="0"/>
        <w:strike w:val="0"/>
        <w:color w:val="000000"/>
        <w:sz w:val="24"/>
        <w:szCs w:val="24"/>
        <w:u w:val="none"/>
        <w:vertAlign w:val="baseline"/>
      </w:rPr>
    </w:lvl>
    <w:lvl w:ilvl="2">
      <w:start w:val="1"/>
      <w:numFmt w:val="lowerRoman"/>
      <w:lvlText w:val="%3"/>
      <w:lvlJc w:val="left"/>
      <w:pPr>
        <w:ind w:left="1472" w:firstLine="0"/>
      </w:pPr>
      <w:rPr>
        <w:rFonts w:ascii="Arial" w:cs="Arial" w:eastAsia="Arial" w:hAnsi="Arial"/>
        <w:b w:val="0"/>
        <w:i w:val="0"/>
        <w:strike w:val="0"/>
        <w:color w:val="000000"/>
        <w:sz w:val="24"/>
        <w:szCs w:val="24"/>
        <w:u w:val="none"/>
        <w:vertAlign w:val="baseline"/>
      </w:rPr>
    </w:lvl>
    <w:lvl w:ilvl="3">
      <w:start w:val="1"/>
      <w:numFmt w:val="decimal"/>
      <w:lvlText w:val="%4"/>
      <w:lvlJc w:val="left"/>
      <w:pPr>
        <w:ind w:left="2192" w:firstLine="0"/>
      </w:pPr>
      <w:rPr>
        <w:rFonts w:ascii="Arial" w:cs="Arial" w:eastAsia="Arial" w:hAnsi="Arial"/>
        <w:b w:val="0"/>
        <w:i w:val="0"/>
        <w:strike w:val="0"/>
        <w:color w:val="000000"/>
        <w:sz w:val="24"/>
        <w:szCs w:val="24"/>
        <w:u w:val="none"/>
        <w:vertAlign w:val="baseline"/>
      </w:rPr>
    </w:lvl>
    <w:lvl w:ilvl="4">
      <w:start w:val="1"/>
      <w:numFmt w:val="lowerLetter"/>
      <w:lvlText w:val="%5"/>
      <w:lvlJc w:val="left"/>
      <w:pPr>
        <w:ind w:left="2912" w:firstLine="0"/>
      </w:pPr>
      <w:rPr>
        <w:rFonts w:ascii="Arial" w:cs="Arial" w:eastAsia="Arial" w:hAnsi="Arial"/>
        <w:b w:val="0"/>
        <w:i w:val="0"/>
        <w:strike w:val="0"/>
        <w:color w:val="000000"/>
        <w:sz w:val="24"/>
        <w:szCs w:val="24"/>
        <w:u w:val="none"/>
        <w:vertAlign w:val="baseline"/>
      </w:rPr>
    </w:lvl>
    <w:lvl w:ilvl="5">
      <w:start w:val="1"/>
      <w:numFmt w:val="lowerRoman"/>
      <w:lvlText w:val="%6"/>
      <w:lvlJc w:val="left"/>
      <w:pPr>
        <w:ind w:left="3632" w:firstLine="0"/>
      </w:pPr>
      <w:rPr>
        <w:rFonts w:ascii="Arial" w:cs="Arial" w:eastAsia="Arial" w:hAnsi="Arial"/>
        <w:b w:val="0"/>
        <w:i w:val="0"/>
        <w:strike w:val="0"/>
        <w:color w:val="000000"/>
        <w:sz w:val="24"/>
        <w:szCs w:val="24"/>
        <w:u w:val="none"/>
        <w:vertAlign w:val="baseline"/>
      </w:rPr>
    </w:lvl>
    <w:lvl w:ilvl="6">
      <w:start w:val="1"/>
      <w:numFmt w:val="decimal"/>
      <w:lvlText w:val="%7"/>
      <w:lvlJc w:val="left"/>
      <w:pPr>
        <w:ind w:left="4352" w:firstLine="0"/>
      </w:pPr>
      <w:rPr>
        <w:rFonts w:ascii="Arial" w:cs="Arial" w:eastAsia="Arial" w:hAnsi="Arial"/>
        <w:b w:val="0"/>
        <w:i w:val="0"/>
        <w:strike w:val="0"/>
        <w:color w:val="000000"/>
        <w:sz w:val="24"/>
        <w:szCs w:val="24"/>
        <w:u w:val="none"/>
        <w:vertAlign w:val="baseline"/>
      </w:rPr>
    </w:lvl>
    <w:lvl w:ilvl="7">
      <w:start w:val="1"/>
      <w:numFmt w:val="lowerLetter"/>
      <w:lvlText w:val="%8"/>
      <w:lvlJc w:val="left"/>
      <w:pPr>
        <w:ind w:left="5072" w:firstLine="0"/>
      </w:pPr>
      <w:rPr>
        <w:rFonts w:ascii="Arial" w:cs="Arial" w:eastAsia="Arial" w:hAnsi="Arial"/>
        <w:b w:val="0"/>
        <w:i w:val="0"/>
        <w:strike w:val="0"/>
        <w:color w:val="000000"/>
        <w:sz w:val="24"/>
        <w:szCs w:val="24"/>
        <w:u w:val="none"/>
        <w:vertAlign w:val="baseline"/>
      </w:rPr>
    </w:lvl>
    <w:lvl w:ilvl="8">
      <w:start w:val="1"/>
      <w:numFmt w:val="lowerRoman"/>
      <w:lvlText w:val="%9"/>
      <w:lvlJc w:val="left"/>
      <w:pPr>
        <w:ind w:left="5792" w:firstLine="0"/>
      </w:pPr>
      <w:rPr>
        <w:rFonts w:ascii="Arial" w:cs="Arial" w:eastAsia="Arial" w:hAnsi="Arial"/>
        <w:b w:val="0"/>
        <w:i w:val="0"/>
        <w:strike w:val="0"/>
        <w:color w:val="000000"/>
        <w:sz w:val="24"/>
        <w:szCs w:val="24"/>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8" w:before="0" w:line="256" w:lineRule="auto"/>
      <w:ind w:left="10" w:right="0" w:hanging="1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